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Michaël BOULET (54 ans)</w:t>
      </w:r>
    </w:p>
    <w:p>
      <w:pPr>
        <w:pStyle w:val="Normal"/>
        <w:spacing w:before="0" w:after="0"/>
        <w:rPr/>
      </w:pPr>
      <w:r>
        <w:rPr/>
        <w:t>147, rue du Président Doumer</w:t>
      </w:r>
    </w:p>
    <w:p>
      <w:pPr>
        <w:pStyle w:val="Normal"/>
        <w:spacing w:before="0" w:after="0"/>
        <w:rPr/>
      </w:pPr>
      <w:r>
        <w:rPr/>
        <w:t>33500 Libourne</w:t>
      </w:r>
    </w:p>
    <w:p>
      <w:pPr>
        <w:pStyle w:val="Normal"/>
        <w:spacing w:before="0" w:after="0"/>
        <w:rPr/>
      </w:pPr>
      <w:r>
        <w:rPr/>
        <w:t>05 57 51 12 63</w:t>
      </w:r>
    </w:p>
    <w:p>
      <w:pPr>
        <w:pStyle w:val="Normal"/>
        <w:spacing w:before="0" w:after="0"/>
        <w:rPr/>
      </w:pPr>
      <w:hyperlink r:id="rId2">
        <w:r>
          <w:rPr>
            <w:rStyle w:val="LienInternet"/>
          </w:rPr>
          <w:t>mmichael-boulet@orange.fr</w:t>
        </w:r>
      </w:hyperlink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tbl>
      <w:tblPr>
        <w:tblStyle w:val="Grilledutableau"/>
        <w:tblW w:w="9212" w:type="dxa"/>
        <w:jc w:val="left"/>
        <w:tblInd w:w="-55" w:type="dxa"/>
        <w:tblCellMar>
          <w:top w:w="0" w:type="dxa"/>
          <w:left w:w="53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212"/>
      </w:tblGrid>
      <w:tr>
        <w:trPr/>
        <w:tc>
          <w:tcPr>
            <w:tcW w:w="921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EXPERIENCE PROFESSIONNELLE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2018-2019</w:t>
        <w:tab/>
        <w:t>Chargé de TD (Stylistique du français moderne, Licence 3) Université de Bordeaux Montaigne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2017-2018</w:t>
        <w:tab/>
        <w:t>Chargé de TD (littérature de la Renaissance, Licence 3) Université de Bordeaux Montaigne : « </w:t>
      </w:r>
      <w:r>
        <w:rPr>
          <w:rFonts w:cs="Times New Roman"/>
        </w:rPr>
        <w:t>Histoire et fiction de la Renaissance au premier XVIIe siècle » (Marguerite de Navarre, Aubigné, semestre 1) ; Stylistique du français moderne (semestre 2)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2017</w:t>
        <w:tab/>
        <w:t xml:space="preserve">Encadrement d’une étudiante en Master II en vue d’une communication : « La </w:t>
      </w:r>
      <w:r>
        <w:rPr>
          <w:i/>
        </w:rPr>
        <w:t>parrêsia</w:t>
      </w:r>
      <w:r>
        <w:rPr/>
        <w:t xml:space="preserve"> au risque de la traduction dans certains genres problématiques : les </w:t>
      </w:r>
      <w:r>
        <w:rPr>
          <w:i/>
          <w:iCs/>
        </w:rPr>
        <w:t>Discours sur la première décade de Tite-Live</w:t>
      </w:r>
      <w:r>
        <w:rPr/>
        <w:t xml:space="preserve"> de Machiavel et la « Déclamation » de Philippe Béroalde », dans le cadre du Colloque international « </w:t>
      </w:r>
      <w:r>
        <w:rPr>
          <w:iCs/>
        </w:rPr>
        <w:t xml:space="preserve">Parrêsia </w:t>
      </w:r>
      <w:r>
        <w:rPr>
          <w:i/>
          <w:iCs/>
        </w:rPr>
        <w:t>et civilité entre France et Italie (Renaissance/XVIIe siècle)</w:t>
      </w:r>
      <w:r>
        <w:rPr/>
        <w:t xml:space="preserve"> », Université Toulouse II, 19-20 octobre 2017, vidéo disponible sur Canal U. 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2017</w:t>
        <w:tab/>
        <w:t>Communication sur La Boétie dans le cadre de la Nuit de la philosophie, en direction des étudiants de l’Institut d’</w:t>
      </w:r>
      <w:r>
        <w:rPr>
          <w:rFonts w:eastAsia="Calibri" w:cs="" w:ascii="Ubuntu" w:hAnsi="Ubuntu"/>
        </w:rPr>
        <w:t>É</w:t>
      </w:r>
      <w:r>
        <w:rPr/>
        <w:t>tudes Politiques de Bordeaux.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2016</w:t>
        <w:tab/>
        <w:t xml:space="preserve">Communication dans le cadre d’une journée d’agrégation sur </w:t>
      </w:r>
      <w:r>
        <w:rPr>
          <w:i w:val="false"/>
          <w:iCs w:val="false"/>
        </w:rPr>
        <w:t>Montaigne</w:t>
      </w:r>
      <w:r>
        <w:rPr/>
        <w:t>, Université de Toulouse II.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2014</w:t>
        <w:tab/>
        <w:t xml:space="preserve">Communication dans le cadre d’une journée d’agrégation sur le </w:t>
      </w:r>
      <w:r>
        <w:rPr>
          <w:i/>
          <w:iCs/>
        </w:rPr>
        <w:t>Discours de la servitude volontaire</w:t>
      </w:r>
      <w:r>
        <w:rPr/>
        <w:t xml:space="preserve"> organisée par le Ceredi, Université de Rouen, « Le plan du </w:t>
      </w:r>
      <w:r>
        <w:rPr>
          <w:i/>
        </w:rPr>
        <w:t>Discours de la servitude volontaire</w:t>
      </w:r>
      <w:r>
        <w:rPr/>
        <w:t xml:space="preserve"> de La Boétie : un jeu d’ombres et de lumières ».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2008-2019</w:t>
        <w:tab/>
        <w:t xml:space="preserve">Professeur agrégé de lettres modernes dans toutes les classes de lycée de la seconde à la terminale L, et de culture générale en B.T.S. Support à l’action managériale  et management des unités commerciales premières et deuxièmes années, Lycée Max Linder, Libourne (33500). 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2000-2008</w:t>
        <w:tab/>
        <w:t>Professeur agrégé de lettres modernes, Lycée Saint-Exupéry, Terrasson La Villedieu, (24120).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1993-2000</w:t>
        <w:tab/>
        <w:t>Conseiller principal d’éducation, Collège La Boétie, Sarlat-la-Canéda (24200).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1989-1993</w:t>
        <w:tab/>
        <w:t>Conseiller principal d’éducation, Lycée Remi Belleau, Nogent-le Rotrou (28400).</w:t>
      </w:r>
    </w:p>
    <w:p>
      <w:pPr>
        <w:pStyle w:val="Normal"/>
        <w:spacing w:before="0" w:after="0"/>
        <w:ind w:left="1416" w:hanging="1416"/>
        <w:rPr/>
      </w:pPr>
      <w:r>
        <w:rPr/>
      </w:r>
    </w:p>
    <w:p>
      <w:pPr>
        <w:pStyle w:val="Normal"/>
        <w:spacing w:before="0" w:after="0"/>
        <w:ind w:left="1416" w:hanging="1416"/>
        <w:rPr/>
      </w:pPr>
      <w:r>
        <w:rPr/>
      </w:r>
    </w:p>
    <w:p>
      <w:pPr>
        <w:pStyle w:val="Normal"/>
        <w:spacing w:before="0" w:after="0"/>
        <w:ind w:left="1416" w:hanging="1416"/>
        <w:rPr/>
      </w:pPr>
      <w:r>
        <w:rPr/>
      </w:r>
    </w:p>
    <w:p>
      <w:pPr>
        <w:pStyle w:val="Normal"/>
        <w:spacing w:before="0" w:after="0"/>
        <w:ind w:left="1416" w:hanging="1416"/>
        <w:rPr/>
      </w:pPr>
      <w:r>
        <w:rPr/>
      </w:r>
    </w:p>
    <w:tbl>
      <w:tblPr>
        <w:tblStyle w:val="Grilledutableau"/>
        <w:tblW w:w="9212" w:type="dxa"/>
        <w:jc w:val="left"/>
        <w:tblInd w:w="-55" w:type="dxa"/>
        <w:tblCellMar>
          <w:top w:w="0" w:type="dxa"/>
          <w:left w:w="5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212"/>
      </w:tblGrid>
      <w:tr>
        <w:trPr/>
        <w:tc>
          <w:tcPr>
            <w:tcW w:w="9212" w:type="dxa"/>
            <w:tcBorders/>
            <w:shd w:color="auto" w:fill="8DB3E2" w:themeFill="text2" w:themeFillTint="66" w:val="clear"/>
          </w:tcPr>
          <w:p>
            <w:pPr>
              <w:pStyle w:val="Normal"/>
              <w:spacing w:before="0" w:after="0"/>
              <w:ind w:left="1416" w:hanging="1416"/>
              <w:jc w:val="center"/>
              <w:rPr/>
            </w:pPr>
            <w:r>
              <w:rPr/>
              <w:t>FORMATION</w:t>
            </w:r>
          </w:p>
        </w:tc>
      </w:tr>
    </w:tbl>
    <w:p>
      <w:pPr>
        <w:pStyle w:val="Normal"/>
        <w:spacing w:before="0" w:after="0"/>
        <w:ind w:left="1416" w:hanging="1416"/>
        <w:rPr/>
      </w:pPr>
      <w:r>
        <w:rPr/>
      </w:r>
    </w:p>
    <w:p>
      <w:pPr>
        <w:pStyle w:val="Normal"/>
        <w:spacing w:before="0" w:after="0"/>
        <w:ind w:left="1416" w:hanging="1416"/>
        <w:rPr/>
      </w:pPr>
      <w:r>
        <w:rPr/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2013</w:t>
        <w:tab/>
        <w:t>Doctorat de lettres modernes, (</w:t>
      </w:r>
      <w:r>
        <w:rPr>
          <w:i/>
          <w:iCs/>
        </w:rPr>
        <w:t>Le</w:t>
      </w:r>
      <w:r>
        <w:rPr>
          <w:i/>
        </w:rPr>
        <w:t>s avatars de la déclamation à la Renaissance</w:t>
      </w:r>
      <w:r>
        <w:rPr/>
        <w:t>, mention très honorable avec félicitations du jury et autorisation de publier), Université Toulouse II.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2006</w:t>
        <w:tab/>
        <w:t>Master II de lettres modernes, mention très bien (</w:t>
      </w:r>
      <w:r>
        <w:rPr>
          <w:i/>
          <w:iCs/>
        </w:rPr>
        <w:t>Le même et l’autre</w:t>
      </w:r>
      <w:r>
        <w:rPr/>
        <w:t>, réception critique de La Boétie, Université de Pau et des Pays de l’Adour).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1999</w:t>
        <w:tab/>
        <w:t>Agrégation interne de lettres modernes (rang 15)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1993</w:t>
        <w:tab/>
        <w:t>Maîtrise de lettres modernes, mention très bien (édition critique et numérisation sous forme de base de données du livre consacré aux pierres, dans une édition du XIV</w:t>
      </w:r>
      <w:r>
        <w:rPr>
          <w:vertAlign w:val="superscript"/>
        </w:rPr>
        <w:t>ème</w:t>
      </w:r>
      <w:r>
        <w:rPr/>
        <w:t xml:space="preserve"> siècle du </w:t>
      </w:r>
      <w:r>
        <w:rPr>
          <w:i/>
        </w:rPr>
        <w:t>Livre des propriétés des choses</w:t>
      </w:r>
      <w:r>
        <w:rPr/>
        <w:t xml:space="preserve"> de Barthélemy l’Anglais, Université de Rouen).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  <w:t>1988</w:t>
        <w:tab/>
        <w:t>Concours de Conseiller principal d’éducation (rang 11)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</w:r>
    </w:p>
    <w:tbl>
      <w:tblPr>
        <w:tblStyle w:val="Grilledutableau"/>
        <w:tblW w:w="9212" w:type="dxa"/>
        <w:jc w:val="left"/>
        <w:tblInd w:w="-55" w:type="dxa"/>
        <w:tblCellMar>
          <w:top w:w="0" w:type="dxa"/>
          <w:left w:w="5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212"/>
      </w:tblGrid>
      <w:tr>
        <w:trPr/>
        <w:tc>
          <w:tcPr>
            <w:tcW w:w="9212" w:type="dxa"/>
            <w:tcBorders/>
            <w:shd w:color="auto" w:fill="8DB3E2" w:themeFill="text2" w:themeFillTint="66" w:val="clear"/>
          </w:tcPr>
          <w:p>
            <w:pPr>
              <w:pStyle w:val="Normal"/>
              <w:spacing w:before="0" w:after="0"/>
              <w:ind w:left="1416" w:hanging="1416"/>
              <w:jc w:val="center"/>
              <w:rPr/>
            </w:pPr>
            <w:r>
              <w:rPr/>
              <w:t>TRAVAUX ET PUBLICATIONS</w:t>
            </w:r>
          </w:p>
        </w:tc>
      </w:tr>
    </w:tbl>
    <w:p>
      <w:pPr>
        <w:pStyle w:val="Normal"/>
        <w:spacing w:before="0" w:after="0"/>
        <w:ind w:left="1416" w:hanging="1416"/>
        <w:rPr/>
      </w:pPr>
      <w:r>
        <w:rPr/>
      </w:r>
    </w:p>
    <w:p>
      <w:pPr>
        <w:pStyle w:val="Normal"/>
        <w:spacing w:before="0" w:after="0"/>
        <w:ind w:left="1416" w:hanging="1416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2013, </w:t>
      </w:r>
      <w:r>
        <w:rPr>
          <w:i/>
          <w:iCs/>
        </w:rPr>
        <w:t>Les avatars de la déclamation à la Renaissance</w:t>
      </w:r>
      <w:r>
        <w:rPr/>
        <w:t xml:space="preserve">, thèse de Doctorat, Université de Toulouse II. 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2013, « Claude Lefort lecteur de La Boétie », </w:t>
      </w:r>
      <w:r>
        <w:rPr>
          <w:i/>
        </w:rPr>
        <w:t>Cahiers La Boétie</w:t>
      </w:r>
      <w:r>
        <w:rPr/>
        <w:t xml:space="preserve"> n° 3, Paris, Classiques Garnier, p. 115-135. 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2013, « Montaigne déclamateur ? », </w:t>
      </w:r>
      <w:r>
        <w:rPr>
          <w:i/>
        </w:rPr>
        <w:t>Bulletin de la Société Internationale des Amis de Montaigne (BSIAM)</w:t>
      </w:r>
      <w:r>
        <w:rPr/>
        <w:t>, n° 58</w:t>
      </w:r>
      <w:bookmarkStart w:id="0" w:name="__DdeLink__172_3208330385"/>
      <w:r>
        <w:rPr/>
        <w:t>, Paris, Classiques Garnier</w:t>
      </w:r>
      <w:bookmarkEnd w:id="0"/>
      <w:r>
        <w:rPr/>
        <w:t>, p. 53-74.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2014, « Trois micro-lectures  du </w:t>
      </w:r>
      <w:r>
        <w:rPr>
          <w:i/>
        </w:rPr>
        <w:t>Discours de la servitude volontaire</w:t>
      </w:r>
      <w:r>
        <w:rPr/>
        <w:t xml:space="preserve"> », </w:t>
      </w:r>
      <w:r>
        <w:rPr>
          <w:i/>
        </w:rPr>
        <w:t>Méthode !</w:t>
      </w:r>
      <w:r>
        <w:rPr/>
        <w:t xml:space="preserve"> Pau, Vallongues, p. 41-51.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2014, « La parole vive dans le </w:t>
      </w:r>
      <w:r>
        <w:rPr>
          <w:i/>
        </w:rPr>
        <w:t>Discours de la servitude volontaire</w:t>
      </w:r>
      <w:r>
        <w:rPr/>
        <w:t xml:space="preserve"> », </w:t>
      </w:r>
      <w:r>
        <w:rPr>
          <w:i/>
        </w:rPr>
        <w:t>Cahiers La Boétie</w:t>
      </w:r>
      <w:r>
        <w:rPr/>
        <w:t xml:space="preserve"> n°4, Paris, Classiques Garnier, p. 235-247.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2015, </w:t>
      </w:r>
      <w:r>
        <w:rPr>
          <w:i/>
        </w:rPr>
        <w:t>De la servitude volontaire</w:t>
      </w:r>
      <w:r>
        <w:rPr/>
        <w:t>, Collection Clefs concours, Atlande (avec Olivier Guerrier et Mathilde Thorel).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2015, « Pour une lecture rétrograde du </w:t>
      </w:r>
      <w:r>
        <w:rPr>
          <w:i/>
        </w:rPr>
        <w:t>Discours de la servitude volontaire</w:t>
      </w:r>
      <w:r>
        <w:rPr/>
        <w:t xml:space="preserve"> », </w:t>
      </w:r>
      <w:r>
        <w:rPr>
          <w:i/>
        </w:rPr>
        <w:t>Cahiers La Boétie</w:t>
      </w:r>
      <w:r>
        <w:rPr/>
        <w:t xml:space="preserve"> n°5, Paris, Classiques Garnier, p. 97-111. 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>2016, « Calcagnini, « </w:t>
      </w:r>
      <w:r>
        <w:rPr>
          <w:i/>
        </w:rPr>
        <w:t>Pourquoi le ciel est fixe, tandis que la terre se meut</w:t>
      </w:r>
      <w:r>
        <w:rPr/>
        <w:t xml:space="preserve"> » : Une exception scientifique au firmament des déclamations de la Renaissance ? », </w:t>
      </w:r>
      <w:r>
        <w:rPr>
          <w:i/>
        </w:rPr>
        <w:t>L’œuvre de rupture, France-Italie</w:t>
      </w:r>
      <w:r>
        <w:rPr/>
        <w:t xml:space="preserve">, Presses Universitaires du Midi, dans la collection « Lettres et cultures XVI-XVIIIe siècles », 2018, p.85-104. 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2016, Cours sur le </w:t>
      </w:r>
      <w:r>
        <w:rPr>
          <w:i/>
        </w:rPr>
        <w:t xml:space="preserve">Discours de la servitude volontaire </w:t>
      </w:r>
      <w:r>
        <w:rPr/>
        <w:t xml:space="preserve">pour les Classes préparatoires scientifiques, </w:t>
      </w:r>
      <w:r>
        <w:rPr>
          <w:i/>
        </w:rPr>
        <w:t>Servitude et soumission</w:t>
      </w:r>
      <w:r>
        <w:rPr/>
        <w:t>, Paris, GF-Flammarion.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Style w:val="Accentuationforte"/>
        </w:rPr>
      </w:pPr>
      <w:r>
        <w:rPr/>
        <w:t xml:space="preserve">2017, « Le </w:t>
      </w:r>
      <w:r>
        <w:rPr>
          <w:i/>
        </w:rPr>
        <w:t>plasma</w:t>
      </w:r>
      <w:r>
        <w:rPr/>
        <w:t xml:space="preserve"> du discours dans </w:t>
      </w:r>
      <w:r>
        <w:rPr>
          <w:i/>
        </w:rPr>
        <w:t>l’Apologie de Raymond Sebond</w:t>
      </w:r>
      <w:r>
        <w:rPr/>
        <w:t xml:space="preserve"> »,  </w:t>
      </w:r>
      <w:r>
        <w:rPr>
          <w:i/>
        </w:rPr>
        <w:t xml:space="preserve">BSIAM </w:t>
      </w:r>
      <w:r>
        <w:rPr>
          <w:i w:val="false"/>
          <w:iCs w:val="false"/>
        </w:rPr>
        <w:t>n° 66,</w:t>
      </w:r>
      <w:r>
        <w:rPr>
          <w:i/>
        </w:rPr>
        <w:t xml:space="preserve"> </w:t>
      </w:r>
      <w:r>
        <w:rPr/>
        <w:t xml:space="preserve">2017-2, Paris, Classiques Garnier , p. 21-39. 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>2017, « </w:t>
      </w:r>
      <w:r>
        <w:rPr>
          <w:rFonts w:cs="Times New Roman"/>
        </w:rPr>
        <w:t xml:space="preserve">Rôle et statut de la traduction dans les corpus de thèse : l’exemple de la déclamation », communication à la table ronde « Les études sur la Renaissance à l’épreuve des frontières disciplinaires », Goutelas, mai 2017, </w:t>
      </w:r>
      <w:r>
        <w:rPr>
          <w:rFonts w:cs="Times New Roman"/>
          <w:i/>
          <w:iCs/>
        </w:rPr>
        <w:t>RHR</w:t>
      </w:r>
      <w:r>
        <w:rPr>
          <w:rFonts w:cs="Times New Roman"/>
        </w:rPr>
        <w:t xml:space="preserve"> 86, juin 2018, p. 155-166.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cs="Times New Roman"/>
        </w:rPr>
        <w:t xml:space="preserve">2017, « Le jugement de Théophile Equicole dans la traduction de Béroalde par Calvy de la Fontaine, ou la ruse au service de la vérité ? », colloque </w:t>
      </w:r>
      <w:r>
        <w:rPr>
          <w:rFonts w:cs="Times New Roman"/>
          <w:iCs/>
        </w:rPr>
        <w:t>Parrêsia</w:t>
      </w:r>
      <w:r>
        <w:rPr>
          <w:rFonts w:cs="Times New Roman"/>
          <w:i/>
          <w:iCs/>
        </w:rPr>
        <w:t xml:space="preserve"> et civilité entre France et Italie (Renaissance / XVIIe siècle)</w:t>
      </w:r>
      <w:r>
        <w:rPr>
          <w:rFonts w:cs="Times New Roman"/>
        </w:rPr>
        <w:t xml:space="preserve">, Université Toulouse II, 19-20 octobre 2017, à paraître dans la </w:t>
      </w:r>
      <w:r>
        <w:rPr>
          <w:rFonts w:cs="Times New Roman"/>
          <w:i/>
          <w:iCs/>
        </w:rPr>
        <w:t>Revue de l’Ecrit</w:t>
      </w:r>
      <w:r>
        <w:rPr>
          <w:rFonts w:cs="Times New Roman"/>
        </w:rPr>
        <w:t xml:space="preserve"> de Il Laboratorio (EA 4590) en 2018, déjà disponible sur Canal U.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ind w:left="1416" w:hanging="1416"/>
        <w:rPr/>
      </w:pPr>
      <w:r>
        <w:rPr/>
      </w:r>
    </w:p>
    <w:p>
      <w:pPr>
        <w:pStyle w:val="Normal"/>
        <w:spacing w:before="0" w:after="0"/>
        <w:ind w:left="1416" w:hanging="1416"/>
        <w:rPr/>
      </w:pPr>
      <w:r>
        <w:rPr/>
      </w:r>
    </w:p>
    <w:tbl>
      <w:tblPr>
        <w:tblStyle w:val="Grilledutableau"/>
        <w:tblW w:w="9212" w:type="dxa"/>
        <w:jc w:val="left"/>
        <w:tblInd w:w="-55" w:type="dxa"/>
        <w:tblCellMar>
          <w:top w:w="0" w:type="dxa"/>
          <w:left w:w="5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212"/>
      </w:tblGrid>
      <w:tr>
        <w:trPr/>
        <w:tc>
          <w:tcPr>
            <w:tcW w:w="9212" w:type="dxa"/>
            <w:tcBorders/>
            <w:shd w:color="auto" w:fill="8DB3E2" w:themeFill="text2" w:themeFillTint="66" w:val="clear"/>
          </w:tcPr>
          <w:p>
            <w:pPr>
              <w:pStyle w:val="Normal"/>
              <w:spacing w:before="0" w:after="0"/>
              <w:ind w:left="1416" w:hanging="1416"/>
              <w:jc w:val="center"/>
              <w:rPr/>
            </w:pPr>
            <w:r>
              <w:rPr/>
              <w:t>AUTRES ACTIVITÉS, DISTINCTIONS</w:t>
            </w:r>
          </w:p>
        </w:tc>
      </w:tr>
    </w:tbl>
    <w:p>
      <w:pPr>
        <w:pStyle w:val="Normal"/>
        <w:spacing w:before="0" w:after="0"/>
        <w:ind w:left="1416" w:hanging="1416"/>
        <w:rPr/>
      </w:pPr>
      <w:r>
        <w:rPr/>
      </w:r>
    </w:p>
    <w:p>
      <w:pPr>
        <w:pStyle w:val="Normal"/>
        <w:spacing w:before="0" w:after="0"/>
        <w:ind w:left="1416" w:hanging="1416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 </w:t>
      </w:r>
      <w:r>
        <w:rPr/>
        <w:t>Président de la Société Internationale des Amis de La Boétie (depuis 2014)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>Qualification aux fonctions de Maître de Conférences (2014)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Participation à l’édition collective des </w:t>
      </w:r>
      <w:r>
        <w:rPr>
          <w:i/>
        </w:rPr>
        <w:t>Moralia</w:t>
      </w:r>
      <w:r>
        <w:rPr/>
        <w:t xml:space="preserve"> de Plutarque traduites par Amyot aux Classiques Garnier (depuis 2015). Edition française des traités : « S’il est loisible de manger chair 1 et 2 » ; « Comment il faut ouïr ». 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Co-directeur de la série « La Boétie : études et textes » des </w:t>
      </w:r>
      <w:bookmarkStart w:id="1" w:name="_GoBack"/>
      <w:r>
        <w:rPr>
          <w:i/>
        </w:rPr>
        <w:t>Etudes montaignistes</w:t>
      </w:r>
      <w:r>
        <w:rPr/>
        <w:t xml:space="preserve"> </w:t>
      </w:r>
      <w:bookmarkEnd w:id="1"/>
      <w:r>
        <w:rPr/>
        <w:t xml:space="preserve">aux Classiques Garnier (depuis 2016). Livres à paraître en janvier 2019 : Anne-Marie Cocula, </w:t>
      </w:r>
      <w:r>
        <w:rPr>
          <w:i/>
          <w:iCs/>
        </w:rPr>
        <w:t>Etienne de La Boétie et le destin du Discours de la servitude volontaire</w:t>
      </w:r>
      <w:r>
        <w:rPr/>
        <w:t xml:space="preserve"> (nouvelle édition revue et augmentée de la biographie publiée initialement aux Editions Sud Ouest) ; Christophe Bardyn et Marilise Six, </w:t>
      </w:r>
      <w:r>
        <w:rPr>
          <w:i/>
          <w:iCs/>
        </w:rPr>
        <w:t>La Boétie, Poésies complètes</w:t>
      </w:r>
      <w:r>
        <w:rPr/>
        <w:t>.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/>
        <w:t xml:space="preserve">Prix André Ferran de l’Académie des Sciences Inscriptions et Belles  Lettres de Toulouse pour </w:t>
      </w:r>
      <w:r>
        <w:rPr>
          <w:i/>
        </w:rPr>
        <w:t>Les avatars de la déclamation à la Renaissance</w:t>
      </w:r>
      <w:r>
        <w:rPr/>
        <w:t xml:space="preserve"> (2016)</w:t>
      </w:r>
    </w:p>
    <w:p>
      <w:pPr>
        <w:pStyle w:val="Normal"/>
        <w:spacing w:before="0" w:after="0"/>
        <w:ind w:left="1416" w:hanging="1416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Ubuntu">
    <w:charset w:val="01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fr-FR" w:eastAsia="fr-FR" w:bidi="ar-SA"/>
    </w:rPr>
  </w:style>
  <w:style w:type="paragraph" w:styleId="Titre1">
    <w:name w:val="Heading 1"/>
    <w:basedOn w:val="Titreprincipal"/>
    <w:qFormat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 w:customStyle="1">
    <w:name w:val="Lien Internet"/>
    <w:basedOn w:val="DefaultParagraphFont"/>
    <w:uiPriority w:val="99"/>
    <w:unhideWhenUsed/>
    <w:rsid w:val="009f55e5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eastAsia="Calibri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Ancredenotedebasdepage" w:customStyle="1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aractresdenotedebasdepage" w:customStyle="1">
    <w:name w:val="Caractères de note de bas de page"/>
    <w:qFormat/>
    <w:rPr/>
  </w:style>
  <w:style w:type="character" w:styleId="ListLabel5" w:customStyle="1">
    <w:name w:val="ListLabel 5"/>
    <w:qFormat/>
    <w:rPr/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/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/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85b2f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d85b2f"/>
    <w:rPr>
      <w:color w:val="00000A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d85b2f"/>
    <w:rPr>
      <w:b/>
      <w:bCs/>
      <w:color w:val="00000A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d85b2f"/>
    <w:rPr>
      <w:rFonts w:ascii="Tahoma" w:hAnsi="Tahoma" w:cs="Tahoma"/>
      <w:color w:val="00000A"/>
      <w:sz w:val="16"/>
      <w:szCs w:val="16"/>
    </w:rPr>
  </w:style>
  <w:style w:type="character" w:styleId="ListLabel32" w:customStyle="1">
    <w:name w:val="ListLabel 32"/>
    <w:qFormat/>
    <w:rPr>
      <w:rFonts w:cs="Calibri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Calibri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Calibri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Calibri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>
    <w:name w:val="ListLabel 68"/>
    <w:qFormat/>
    <w:rPr>
      <w:rFonts w:cs="Calibri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Calibri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Calibri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Calibri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/>
  </w:style>
  <w:style w:type="character" w:styleId="ListLabel105">
    <w:name w:val="ListLabel 105"/>
    <w:qFormat/>
    <w:rPr>
      <w:rFonts w:cs="Calibri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/>
  </w:style>
  <w:style w:type="character" w:styleId="ListLabel115">
    <w:name w:val="ListLabel 115"/>
    <w:qFormat/>
    <w:rPr>
      <w:rFonts w:cs="Calibri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/>
  </w:style>
  <w:style w:type="character" w:styleId="ListLabel125">
    <w:name w:val="ListLabel 125"/>
    <w:qFormat/>
    <w:rPr>
      <w:rFonts w:cs="Calibri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/>
  </w:style>
  <w:style w:type="character" w:styleId="ListLabel135">
    <w:name w:val="ListLabel 135"/>
    <w:qFormat/>
    <w:rPr>
      <w:rFonts w:cs="Calibri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/>
  </w:style>
  <w:style w:type="character" w:styleId="ListLabel145">
    <w:name w:val="ListLabel 145"/>
    <w:qFormat/>
    <w:rPr>
      <w:rFonts w:cs="Calibri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/>
  </w:style>
  <w:style w:type="character" w:styleId="Accentuationforte">
    <w:name w:val="Accentuation forte"/>
    <w:qFormat/>
    <w:rPr>
      <w:b/>
      <w:bCs/>
    </w:rPr>
  </w:style>
  <w:style w:type="character" w:styleId="ListLabel155">
    <w:name w:val="ListLabel 155"/>
    <w:qFormat/>
    <w:rPr>
      <w:rFonts w:cs="Calibri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reprincipal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otedebasdepage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85b2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d85b2f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85b2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f55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michael-boulet@orange.f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LibreOffice/6.0.3.2$Linux_X86_64 LibreOffice_project/00m0$Build-2</Application>
  <Pages>3</Pages>
  <Words>914</Words>
  <Characters>4890</Characters>
  <CharactersWithSpaces>5759</CharactersWithSpaces>
  <Paragraphs>41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2017-10-23T15:54:00Z</dcterms:created>
  <dc:creator>Bob</dc:creator>
  <dc:description/>
  <dc:language>fr-FR</dc:language>
  <cp:lastModifiedBy/>
  <dcterms:modified xsi:type="dcterms:W3CDTF">2019-01-15T11:13:57Z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